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>предавача у току летњег 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601768">
        <w:rPr>
          <w:b/>
          <w:sz w:val="28"/>
          <w:szCs w:val="28"/>
        </w:rPr>
        <w:t>2012/2013</w:t>
      </w:r>
      <w:r w:rsidRPr="0035678B">
        <w:rPr>
          <w:b/>
          <w:sz w:val="28"/>
          <w:szCs w:val="28"/>
        </w:rPr>
        <w:t>.године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9B0DBD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DE5C10">
        <w:rPr>
          <w:szCs w:val="24"/>
          <w:lang/>
        </w:rPr>
        <w:t>јунског</w:t>
      </w:r>
      <w:r w:rsidR="00601768">
        <w:rPr>
          <w:szCs w:val="24"/>
        </w:rPr>
        <w:t xml:space="preserve"> </w:t>
      </w:r>
      <w:r w:rsidRPr="0035678B">
        <w:rPr>
          <w:szCs w:val="24"/>
        </w:rPr>
        <w:t xml:space="preserve"> испитног рока </w:t>
      </w:r>
      <w:r w:rsidR="002F5AF3" w:rsidRPr="0035678B">
        <w:rPr>
          <w:szCs w:val="24"/>
        </w:rPr>
        <w:t>школске 201</w:t>
      </w:r>
      <w:r w:rsidR="00601768">
        <w:rPr>
          <w:szCs w:val="24"/>
        </w:rPr>
        <w:t>2</w:t>
      </w:r>
      <w:r w:rsidR="002F5AF3" w:rsidRPr="0035678B">
        <w:rPr>
          <w:szCs w:val="24"/>
        </w:rPr>
        <w:t>/201</w:t>
      </w:r>
      <w:r w:rsidR="00601768">
        <w:rPr>
          <w:szCs w:val="24"/>
        </w:rPr>
        <w:t>3</w:t>
      </w:r>
      <w:r w:rsidR="002F5AF3" w:rsidRPr="0035678B">
        <w:rPr>
          <w:szCs w:val="24"/>
        </w:rPr>
        <w:t xml:space="preserve">.године </w:t>
      </w:r>
      <w:r w:rsidRPr="0035678B">
        <w:rPr>
          <w:szCs w:val="24"/>
        </w:rPr>
        <w:t xml:space="preserve">спроведена је анкета у оквиру које су студенти </w:t>
      </w:r>
      <w:r w:rsidR="009B0DBD">
        <w:rPr>
          <w:szCs w:val="24"/>
        </w:rPr>
        <w:t xml:space="preserve">основних струковних студија </w:t>
      </w:r>
      <w:r w:rsidRPr="0035678B">
        <w:rPr>
          <w:szCs w:val="24"/>
        </w:rPr>
        <w:t xml:space="preserve">оцењивали рад наставника који су им држали теоријску наставу у току </w:t>
      </w:r>
      <w:r w:rsidR="00167563">
        <w:rPr>
          <w:szCs w:val="24"/>
        </w:rPr>
        <w:t>летњег</w:t>
      </w:r>
      <w:r w:rsidRPr="0035678B">
        <w:rPr>
          <w:szCs w:val="24"/>
        </w:rPr>
        <w:t xml:space="preserve"> семестра школске </w:t>
      </w:r>
      <w:r w:rsidR="00601768">
        <w:rPr>
          <w:szCs w:val="24"/>
        </w:rPr>
        <w:t>2012/2013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9B0DBD" w:rsidRDefault="009B0DBD">
      <w:pPr>
        <w:spacing w:after="200"/>
        <w:ind w:firstLine="0"/>
        <w:jc w:val="left"/>
        <w:rPr>
          <w:szCs w:val="24"/>
        </w:rPr>
      </w:pPr>
    </w:p>
    <w:p w:rsidR="009B0DBD" w:rsidRDefault="009B0DBD" w:rsidP="009B0DBD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9B0DBD" w:rsidRPr="00D776B2" w:rsidRDefault="009B0DBD" w:rsidP="009B0DBD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9B0DBD" w:rsidRDefault="009B0DBD" w:rsidP="009B0DBD">
      <w:pPr>
        <w:rPr>
          <w:szCs w:val="24"/>
        </w:rPr>
      </w:pPr>
    </w:p>
    <w:p w:rsidR="009B0DBD" w:rsidRPr="00284C78" w:rsidRDefault="009B0DBD" w:rsidP="009B0DBD">
      <w:pPr>
        <w:rPr>
          <w:szCs w:val="24"/>
        </w:rPr>
      </w:pPr>
    </w:p>
    <w:p w:rsidR="009B0DBD" w:rsidRDefault="009B0DBD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>укупних просечних оцена добијних приликом вредновања педагошког рада наставника теори</w:t>
      </w:r>
      <w:r w:rsidR="004A0CC1">
        <w:rPr>
          <w:b/>
          <w:sz w:val="28"/>
          <w:szCs w:val="28"/>
        </w:rPr>
        <w:t>ј</w:t>
      </w:r>
      <w:r>
        <w:rPr>
          <w:b/>
          <w:sz w:val="28"/>
          <w:szCs w:val="28"/>
        </w:rPr>
        <w:t xml:space="preserve">ске наставе </w:t>
      </w:r>
      <w:r w:rsidRPr="0035678B">
        <w:rPr>
          <w:b/>
          <w:sz w:val="28"/>
          <w:szCs w:val="28"/>
        </w:rPr>
        <w:t xml:space="preserve">у току </w:t>
      </w:r>
      <w:r w:rsidR="00167563">
        <w:rPr>
          <w:b/>
          <w:sz w:val="28"/>
          <w:szCs w:val="28"/>
        </w:rPr>
        <w:t>летњег</w:t>
      </w:r>
      <w:r w:rsidRPr="009B0DBD">
        <w:rPr>
          <w:b/>
          <w:sz w:val="28"/>
          <w:szCs w:val="28"/>
        </w:rPr>
        <w:t xml:space="preserve"> семестара </w:t>
      </w:r>
    </w:p>
    <w:p w:rsidR="009B0DBD" w:rsidRPr="0035678B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601768">
        <w:rPr>
          <w:b/>
          <w:sz w:val="28"/>
          <w:szCs w:val="28"/>
        </w:rPr>
        <w:t>2012/2013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9B0DBD" w:rsidRDefault="009B0DBD" w:rsidP="0035678B">
      <w:pPr>
        <w:rPr>
          <w:szCs w:val="24"/>
        </w:rPr>
      </w:pPr>
    </w:p>
    <w:p w:rsidR="009B0DBD" w:rsidRDefault="009B0DBD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601768">
        <w:rPr>
          <w:b/>
          <w:szCs w:val="24"/>
        </w:rPr>
        <w:t>75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DE5C10">
        <w:rPr>
          <w:b/>
          <w:szCs w:val="24"/>
          <w:lang/>
        </w:rPr>
        <w:t>79</w:t>
      </w:r>
      <w:r w:rsidR="00ED6916" w:rsidRPr="0035678B">
        <w:rPr>
          <w:szCs w:val="24"/>
        </w:rPr>
        <w:t>, док је оцена која се најчешће појављује оцена 5,00.</w:t>
      </w:r>
      <w:r w:rsidR="0035678B">
        <w:rPr>
          <w:szCs w:val="24"/>
        </w:rPr>
        <w:t xml:space="preserve"> Најнижа остварена оцена је </w:t>
      </w:r>
      <w:r w:rsidR="00DE5C10">
        <w:rPr>
          <w:szCs w:val="24"/>
          <w:lang/>
        </w:rPr>
        <w:t>3</w:t>
      </w:r>
      <w:r w:rsidR="0035678B">
        <w:rPr>
          <w:szCs w:val="24"/>
        </w:rPr>
        <w:t>,</w:t>
      </w:r>
      <w:r w:rsidR="00DE5C10">
        <w:rPr>
          <w:szCs w:val="24"/>
          <w:lang/>
        </w:rPr>
        <w:t>87</w:t>
      </w:r>
      <w:r w:rsidR="0035678B">
        <w:rPr>
          <w:szCs w:val="24"/>
        </w:rPr>
        <w:t>, а највиша 5,00.</w:t>
      </w:r>
    </w:p>
    <w:p w:rsidR="00725722" w:rsidRDefault="00725722" w:rsidP="0035678B">
      <w:pPr>
        <w:rPr>
          <w:szCs w:val="24"/>
        </w:rPr>
      </w:pPr>
    </w:p>
    <w:p w:rsidR="004D080B" w:rsidRDefault="00601768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183515</wp:posOffset>
            </wp:positionV>
            <wp:extent cx="3992880" cy="2564765"/>
            <wp:effectExtent l="19050" t="0" r="26670" b="6985"/>
            <wp:wrapTight wrapText="bothSides">
              <wp:wrapPolygon edited="0">
                <wp:start x="-103" y="0"/>
                <wp:lineTo x="-103" y="21659"/>
                <wp:lineTo x="21744" y="21659"/>
                <wp:lineTo x="21744" y="0"/>
                <wp:lineTo x="-103" y="0"/>
              </wp:wrapPolygon>
            </wp:wrapTight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Style w:val="MediumGrid3-Accent5"/>
        <w:tblpPr w:leftFromText="57" w:rightFromText="57" w:vertAnchor="text" w:horzAnchor="margin" w:tblpY="1"/>
        <w:tblW w:w="3743" w:type="dxa"/>
        <w:tblCellMar>
          <w:left w:w="57" w:type="dxa"/>
          <w:right w:w="57" w:type="dxa"/>
        </w:tblCellMar>
        <w:tblLook w:val="04A0"/>
      </w:tblPr>
      <w:tblGrid>
        <w:gridCol w:w="1333"/>
        <w:gridCol w:w="1536"/>
        <w:gridCol w:w="874"/>
      </w:tblGrid>
      <w:tr w:rsidR="009B0DBD" w:rsidRPr="009B0DBD" w:rsidTr="009B0DBD">
        <w:trPr>
          <w:cnfStyle w:val="100000000000"/>
          <w:trHeight w:val="552"/>
        </w:trPr>
        <w:tc>
          <w:tcPr>
            <w:cnfStyle w:val="001000000000"/>
            <w:tcW w:w="1333" w:type="dxa"/>
            <w:shd w:val="clear" w:color="auto" w:fill="FDE9D9" w:themeFill="accent6" w:themeFillTint="33"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536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9B0DBD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Фреквенције</w:t>
            </w:r>
          </w:p>
        </w:tc>
        <w:tc>
          <w:tcPr>
            <w:tcW w:w="874" w:type="dxa"/>
            <w:shd w:val="clear" w:color="auto" w:fill="FDE9D9" w:themeFill="accent6" w:themeFillTint="33"/>
            <w:noWrap/>
            <w:vAlign w:val="center"/>
            <w:hideMark/>
          </w:tcPr>
          <w:p w:rsidR="009B0DBD" w:rsidRPr="009B0DBD" w:rsidRDefault="009B0DBD" w:rsidP="00167563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167563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167563" w:rsidRPr="009B0DBD" w:rsidRDefault="00167563" w:rsidP="009B0DBD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167563">
              <w:rPr>
                <w:rFonts w:eastAsia="Times New Roman"/>
                <w:color w:val="000000"/>
                <w:szCs w:val="24"/>
              </w:rPr>
              <w:t>≤4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167563" w:rsidRPr="00167563" w:rsidRDefault="00167563" w:rsidP="00167563">
            <w:pPr>
              <w:jc w:val="left"/>
              <w:cnfStyle w:val="000000100000"/>
              <w:rPr>
                <w:color w:val="000000"/>
                <w:sz w:val="24"/>
                <w:szCs w:val="24"/>
              </w:rPr>
            </w:pPr>
            <w:r w:rsidRPr="0016756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167563" w:rsidRDefault="00167563" w:rsidP="00167563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167563" w:rsidRPr="009B0DBD" w:rsidTr="009B0DBD">
        <w:trPr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167563" w:rsidRPr="009B0DBD" w:rsidRDefault="00167563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(4,00 - 4,25]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167563" w:rsidRPr="00167563" w:rsidRDefault="00167563" w:rsidP="00167563">
            <w:pPr>
              <w:jc w:val="left"/>
              <w:cnfStyle w:val="000000000000"/>
              <w:rPr>
                <w:color w:val="000000"/>
                <w:sz w:val="24"/>
                <w:szCs w:val="24"/>
              </w:rPr>
            </w:pPr>
            <w:r w:rsidRPr="0016756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167563" w:rsidRDefault="00167563" w:rsidP="00167563">
            <w:pPr>
              <w:ind w:firstLine="0"/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</w:tr>
      <w:tr w:rsidR="00167563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167563" w:rsidRPr="009B0DBD" w:rsidRDefault="00167563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(4,25 -4,50]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167563" w:rsidRPr="00167563" w:rsidRDefault="00167563" w:rsidP="00167563">
            <w:pPr>
              <w:jc w:val="left"/>
              <w:cnfStyle w:val="000000100000"/>
              <w:rPr>
                <w:color w:val="000000"/>
                <w:sz w:val="24"/>
                <w:szCs w:val="24"/>
              </w:rPr>
            </w:pPr>
            <w:r w:rsidRPr="0016756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167563" w:rsidRDefault="00167563" w:rsidP="00167563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</w:tr>
      <w:tr w:rsidR="00167563" w:rsidRPr="009B0DBD" w:rsidTr="009B0DBD">
        <w:trPr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167563" w:rsidRPr="009B0DBD" w:rsidRDefault="00167563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(4,50 - 4,75]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167563" w:rsidRPr="00167563" w:rsidRDefault="00167563" w:rsidP="00167563">
            <w:pPr>
              <w:jc w:val="left"/>
              <w:cnfStyle w:val="000000000000"/>
              <w:rPr>
                <w:color w:val="000000"/>
                <w:sz w:val="24"/>
                <w:szCs w:val="24"/>
              </w:rPr>
            </w:pPr>
            <w:r w:rsidRPr="0016756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167563" w:rsidRDefault="00167563" w:rsidP="00167563">
            <w:pPr>
              <w:ind w:firstLine="0"/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167563" w:rsidRPr="009B0DBD" w:rsidTr="009B0DBD">
        <w:trPr>
          <w:cnfStyle w:val="000000100000"/>
          <w:trHeight w:val="533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167563" w:rsidRPr="009B0DBD" w:rsidRDefault="00167563" w:rsidP="009B0DB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(4,75 - 5,00]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167563" w:rsidRPr="00167563" w:rsidRDefault="00167563" w:rsidP="00167563">
            <w:pPr>
              <w:jc w:val="left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167563" w:rsidRDefault="00167563" w:rsidP="00167563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61%</w:t>
            </w:r>
          </w:p>
        </w:tc>
      </w:tr>
      <w:tr w:rsidR="00167563" w:rsidRPr="009B0DBD" w:rsidTr="009B0DBD">
        <w:trPr>
          <w:trHeight w:val="552"/>
        </w:trPr>
        <w:tc>
          <w:tcPr>
            <w:cnfStyle w:val="001000000000"/>
            <w:tcW w:w="1333" w:type="dxa"/>
            <w:shd w:val="clear" w:color="auto" w:fill="FDE9D9" w:themeFill="accent6" w:themeFillTint="33"/>
            <w:noWrap/>
            <w:vAlign w:val="center"/>
            <w:hideMark/>
          </w:tcPr>
          <w:p w:rsidR="00167563" w:rsidRPr="009B0DBD" w:rsidRDefault="00167563" w:rsidP="009B0DBD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Cs w:val="0"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167563" w:rsidRPr="00167563" w:rsidRDefault="00167563" w:rsidP="009B0DBD">
            <w:pPr>
              <w:ind w:firstLine="0"/>
              <w:jc w:val="center"/>
              <w:cnfStyle w:val="0000000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167563" w:rsidRPr="009B0DBD" w:rsidRDefault="00167563" w:rsidP="00167563">
            <w:pPr>
              <w:ind w:firstLine="0"/>
              <w:jc w:val="center"/>
              <w:cnfStyle w:val="0000000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606981" w:rsidRDefault="00601768" w:rsidP="0035678B">
      <w:pPr>
        <w:rPr>
          <w:noProof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197485</wp:posOffset>
            </wp:positionV>
            <wp:extent cx="6336030" cy="3989705"/>
            <wp:effectExtent l="19050" t="0" r="26670" b="0"/>
            <wp:wrapTight wrapText="bothSides">
              <wp:wrapPolygon edited="0">
                <wp:start x="-65" y="0"/>
                <wp:lineTo x="-65" y="21555"/>
                <wp:lineTo x="21691" y="21555"/>
                <wp:lineTo x="21691" y="0"/>
                <wp:lineTo x="-65" y="0"/>
              </wp:wrapPolygon>
            </wp:wrapTight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01768" w:rsidRDefault="00601768" w:rsidP="0035678B">
      <w:pPr>
        <w:rPr>
          <w:noProof/>
          <w:szCs w:val="24"/>
        </w:rPr>
      </w:pPr>
    </w:p>
    <w:p w:rsidR="00167563" w:rsidRDefault="00167563" w:rsidP="00167563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167563" w:rsidSect="00F2462C">
          <w:headerReference w:type="default" r:id="rId9"/>
          <w:footerReference w:type="default" r:id="rId10"/>
          <w:pgSz w:w="11907" w:h="16839" w:code="9"/>
          <w:pgMar w:top="851" w:right="851" w:bottom="851" w:left="851" w:header="426" w:footer="720" w:gutter="0"/>
          <w:cols w:space="720"/>
          <w:titlePg/>
          <w:docGrid w:linePitch="360"/>
        </w:sectPr>
      </w:pPr>
    </w:p>
    <w:tbl>
      <w:tblPr>
        <w:tblW w:w="2480" w:type="dxa"/>
        <w:tblInd w:w="103" w:type="dxa"/>
        <w:tblLook w:val="04A0"/>
      </w:tblPr>
      <w:tblGrid>
        <w:gridCol w:w="1263"/>
        <w:gridCol w:w="1340"/>
      </w:tblGrid>
      <w:tr w:rsidR="00167563" w:rsidRPr="00167563" w:rsidTr="00167563">
        <w:trPr>
          <w:trHeight w:val="645"/>
        </w:trPr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67563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Просечна оцена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67563">
              <w:rPr>
                <w:rFonts w:eastAsia="Times New Roman"/>
                <w:b/>
                <w:bCs/>
                <w:color w:val="000000"/>
                <w:szCs w:val="24"/>
              </w:rPr>
              <w:t>Излазност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3,87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57,56      </w:t>
            </w:r>
          </w:p>
        </w:tc>
      </w:tr>
      <w:tr w:rsidR="00167563" w:rsidRPr="00167563" w:rsidTr="00167563">
        <w:trPr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6F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4,02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50,00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77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85,96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B74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16,55      </w:t>
            </w:r>
          </w:p>
        </w:tc>
      </w:tr>
      <w:tr w:rsidR="00167563" w:rsidRPr="00167563" w:rsidTr="00167563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E75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60,00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C78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4,35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19,35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97A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86,54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4,48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87,43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C37C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83,33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A7D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4,56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75,57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B7E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4,57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37,04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17F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78,26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17F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74,14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D57F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64,29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A80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84,75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A80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80,00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B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48,78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C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4,69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83,04      </w:t>
            </w:r>
          </w:p>
        </w:tc>
      </w:tr>
      <w:tr w:rsidR="00167563" w:rsidRPr="00167563" w:rsidTr="00167563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F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79,21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80,00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80,00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90,00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89,29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87,50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3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89,19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88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69,44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88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58,33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88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73,33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89,19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8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42,86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28,93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57,14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72,55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984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lastRenderedPageBreak/>
              <w:t>4,80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78,26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E784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75,34      </w:t>
            </w:r>
          </w:p>
        </w:tc>
      </w:tr>
      <w:tr w:rsidR="00167563" w:rsidRPr="00167563" w:rsidTr="00167563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383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95,83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1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62,82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F82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72,60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62,12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A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90,08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54,78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89,26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54,78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D680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61,98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D480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92,59      </w:t>
            </w:r>
          </w:p>
        </w:tc>
      </w:tr>
      <w:tr w:rsidR="00167563" w:rsidRPr="00167563" w:rsidTr="00167563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D480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71,43      </w:t>
            </w:r>
          </w:p>
        </w:tc>
      </w:tr>
      <w:tr w:rsidR="00167563" w:rsidRPr="00167563" w:rsidTr="00167563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8CE7F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89,29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0CB7E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80,00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9C97E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52,50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1C77D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92,59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C57D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59,38      </w:t>
            </w:r>
          </w:p>
        </w:tc>
      </w:tr>
      <w:tr w:rsidR="00167563" w:rsidRPr="00167563" w:rsidTr="0016756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C57D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61,33      </w:t>
            </w:r>
          </w:p>
        </w:tc>
      </w:tr>
      <w:tr w:rsidR="00167563" w:rsidRPr="00167563" w:rsidTr="0016756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C57D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60,00      </w:t>
            </w:r>
          </w:p>
        </w:tc>
      </w:tr>
      <w:tr w:rsidR="00167563" w:rsidRPr="00167563" w:rsidTr="0016756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2C37C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69,51      </w:t>
            </w:r>
          </w:p>
        </w:tc>
      </w:tr>
      <w:tr w:rsidR="00167563" w:rsidRPr="00167563" w:rsidTr="0016756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BC17C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85,71      </w:t>
            </w:r>
          </w:p>
        </w:tc>
      </w:tr>
      <w:tr w:rsidR="00167563" w:rsidRPr="00167563" w:rsidTr="00167563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BC17C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4,99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83,33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70,59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56,25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60,00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56,52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92,59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42,86      </w:t>
            </w:r>
          </w:p>
        </w:tc>
      </w:tr>
      <w:tr w:rsidR="00167563" w:rsidRPr="00167563" w:rsidTr="00167563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67563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67563" w:rsidRPr="00167563" w:rsidRDefault="00167563" w:rsidP="00167563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67563">
              <w:rPr>
                <w:rFonts w:eastAsia="Times New Roman"/>
                <w:color w:val="000000"/>
                <w:sz w:val="22"/>
              </w:rPr>
              <w:t xml:space="preserve">       70,37      </w:t>
            </w:r>
          </w:p>
        </w:tc>
      </w:tr>
    </w:tbl>
    <w:p w:rsidR="00167563" w:rsidRDefault="00167563" w:rsidP="0035678B">
      <w:pPr>
        <w:rPr>
          <w:noProof/>
          <w:szCs w:val="24"/>
        </w:rPr>
        <w:sectPr w:rsidR="00167563" w:rsidSect="00167563">
          <w:type w:val="continuous"/>
          <w:pgSz w:w="11907" w:h="16839" w:code="9"/>
          <w:pgMar w:top="851" w:right="851" w:bottom="851" w:left="851" w:header="426" w:footer="720" w:gutter="0"/>
          <w:cols w:num="2" w:space="720"/>
          <w:titlePg/>
          <w:docGrid w:linePitch="360"/>
        </w:sectPr>
      </w:pPr>
    </w:p>
    <w:p w:rsidR="00601768" w:rsidRDefault="00601768" w:rsidP="0035678B">
      <w:pPr>
        <w:rPr>
          <w:noProof/>
          <w:szCs w:val="24"/>
        </w:rPr>
      </w:pPr>
    </w:p>
    <w:p w:rsidR="00167563" w:rsidRDefault="00167563" w:rsidP="0035678B">
      <w:pPr>
        <w:rPr>
          <w:noProof/>
          <w:szCs w:val="24"/>
        </w:rPr>
      </w:pPr>
    </w:p>
    <w:p w:rsidR="00167563" w:rsidRDefault="00167563" w:rsidP="0035678B">
      <w:pPr>
        <w:rPr>
          <w:noProof/>
          <w:szCs w:val="24"/>
        </w:rPr>
      </w:pPr>
    </w:p>
    <w:p w:rsidR="00167563" w:rsidRDefault="00167563" w:rsidP="0035678B">
      <w:pPr>
        <w:rPr>
          <w:noProof/>
          <w:szCs w:val="24"/>
        </w:rPr>
      </w:pPr>
    </w:p>
    <w:p w:rsidR="00725722" w:rsidRDefault="00725722" w:rsidP="0035678B">
      <w:pPr>
        <w:rPr>
          <w:szCs w:val="24"/>
        </w:rPr>
        <w:sectPr w:rsidR="00725722" w:rsidSect="00725722">
          <w:type w:val="continuous"/>
          <w:pgSz w:w="11907" w:h="16839" w:code="9"/>
          <w:pgMar w:top="851" w:right="851" w:bottom="851" w:left="851" w:header="720" w:footer="720" w:gutter="0"/>
          <w:cols w:num="2" w:space="720"/>
          <w:docGrid w:linePitch="360"/>
        </w:sectPr>
      </w:pPr>
    </w:p>
    <w:p w:rsidR="00725722" w:rsidRDefault="00725722" w:rsidP="0035678B">
      <w:pPr>
        <w:rPr>
          <w:szCs w:val="24"/>
        </w:rPr>
      </w:pPr>
    </w:p>
    <w:p w:rsidR="000C22A3" w:rsidRDefault="004D44A1"/>
    <w:p w:rsidR="00F2462C" w:rsidRPr="00A263F6" w:rsidRDefault="00F2462C">
      <w:pPr>
        <w:spacing w:after="200"/>
        <w:ind w:firstLine="0"/>
        <w:jc w:val="left"/>
      </w:pPr>
    </w:p>
    <w:sectPr w:rsidR="00F2462C" w:rsidRPr="00A263F6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A1" w:rsidRDefault="004D44A1" w:rsidP="00F2462C">
      <w:pPr>
        <w:spacing w:line="240" w:lineRule="auto"/>
      </w:pPr>
      <w:r>
        <w:separator/>
      </w:r>
    </w:p>
  </w:endnote>
  <w:endnote w:type="continuationSeparator" w:id="1">
    <w:p w:rsidR="004D44A1" w:rsidRDefault="004D44A1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F2462C" w:rsidRDefault="001D7F2C">
        <w:pPr>
          <w:pStyle w:val="Footer"/>
          <w:jc w:val="center"/>
        </w:pPr>
        <w:r>
          <w:fldChar w:fldCharType="begin"/>
        </w:r>
        <w:r w:rsidR="00A96F87">
          <w:instrText xml:space="preserve"> PAGE   \* MERGEFORMAT </w:instrText>
        </w:r>
        <w:r>
          <w:fldChar w:fldCharType="separate"/>
        </w:r>
        <w:r w:rsidR="00DE5C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62C" w:rsidRDefault="00F24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A1" w:rsidRDefault="004D44A1" w:rsidP="00F2462C">
      <w:pPr>
        <w:spacing w:line="240" w:lineRule="auto"/>
      </w:pPr>
      <w:r>
        <w:separator/>
      </w:r>
    </w:p>
  </w:footnote>
  <w:footnote w:type="continuationSeparator" w:id="1">
    <w:p w:rsidR="004D44A1" w:rsidRDefault="004D44A1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2C" w:rsidRPr="00601768" w:rsidRDefault="00F2462C" w:rsidP="00601768">
    <w:pPr>
      <w:ind w:firstLine="0"/>
      <w:jc w:val="center"/>
      <w:rPr>
        <w:sz w:val="22"/>
      </w:rPr>
    </w:pPr>
    <w:r w:rsidRPr="00601768">
      <w:rPr>
        <w:sz w:val="22"/>
      </w:rPr>
      <w:t xml:space="preserve">Анализа резултата вредновања рада предавача у току </w:t>
    </w:r>
    <w:r w:rsidR="00167563">
      <w:rPr>
        <w:sz w:val="22"/>
      </w:rPr>
      <w:t>летњег</w:t>
    </w:r>
    <w:r w:rsidRPr="00601768">
      <w:rPr>
        <w:sz w:val="22"/>
      </w:rPr>
      <w:t xml:space="preserve"> семестара шко</w:t>
    </w:r>
    <w:r w:rsidR="00B800BC" w:rsidRPr="00601768">
      <w:rPr>
        <w:sz w:val="22"/>
      </w:rPr>
      <w:t>л</w:t>
    </w:r>
    <w:r w:rsidR="00653AC0">
      <w:rPr>
        <w:sz w:val="22"/>
      </w:rPr>
      <w:t>ске 2012</w:t>
    </w:r>
    <w:r w:rsidRPr="00601768">
      <w:rPr>
        <w:sz w:val="22"/>
      </w:rPr>
      <w:t>/201</w:t>
    </w:r>
    <w:r w:rsidR="00653AC0">
      <w:rPr>
        <w:sz w:val="22"/>
      </w:rPr>
      <w:t>3</w:t>
    </w:r>
    <w:r w:rsidRPr="00601768">
      <w:rPr>
        <w:sz w:val="22"/>
      </w:rPr>
      <w:t>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FFA"/>
    <w:multiLevelType w:val="hybridMultilevel"/>
    <w:tmpl w:val="4546F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7367"/>
    <w:multiLevelType w:val="hybridMultilevel"/>
    <w:tmpl w:val="23F02624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24965"/>
    <w:rsid w:val="000E1B93"/>
    <w:rsid w:val="000F6A5A"/>
    <w:rsid w:val="0016639A"/>
    <w:rsid w:val="00167563"/>
    <w:rsid w:val="001719F5"/>
    <w:rsid w:val="00180990"/>
    <w:rsid w:val="001A04E7"/>
    <w:rsid w:val="001D7F2C"/>
    <w:rsid w:val="001F1D98"/>
    <w:rsid w:val="002F5AF3"/>
    <w:rsid w:val="003025CA"/>
    <w:rsid w:val="0035678B"/>
    <w:rsid w:val="00362A07"/>
    <w:rsid w:val="003857E8"/>
    <w:rsid w:val="003A593B"/>
    <w:rsid w:val="003B1A85"/>
    <w:rsid w:val="003D0D56"/>
    <w:rsid w:val="003D56EE"/>
    <w:rsid w:val="003E7683"/>
    <w:rsid w:val="00433F9D"/>
    <w:rsid w:val="004353D6"/>
    <w:rsid w:val="004870F4"/>
    <w:rsid w:val="004A0CC1"/>
    <w:rsid w:val="004C550B"/>
    <w:rsid w:val="004D080B"/>
    <w:rsid w:val="004D44A1"/>
    <w:rsid w:val="004E66B0"/>
    <w:rsid w:val="004F3EE6"/>
    <w:rsid w:val="00552B42"/>
    <w:rsid w:val="00582A26"/>
    <w:rsid w:val="005B5FCC"/>
    <w:rsid w:val="00601768"/>
    <w:rsid w:val="00606981"/>
    <w:rsid w:val="00653AC0"/>
    <w:rsid w:val="00654E2D"/>
    <w:rsid w:val="00683F07"/>
    <w:rsid w:val="006F2704"/>
    <w:rsid w:val="00725722"/>
    <w:rsid w:val="0073646A"/>
    <w:rsid w:val="007C6877"/>
    <w:rsid w:val="007E40B2"/>
    <w:rsid w:val="00815876"/>
    <w:rsid w:val="00844A8C"/>
    <w:rsid w:val="008F16AD"/>
    <w:rsid w:val="00903A7D"/>
    <w:rsid w:val="00980B9C"/>
    <w:rsid w:val="009B0DBD"/>
    <w:rsid w:val="00A263F6"/>
    <w:rsid w:val="00A425F3"/>
    <w:rsid w:val="00A7683C"/>
    <w:rsid w:val="00A96F87"/>
    <w:rsid w:val="00AC1680"/>
    <w:rsid w:val="00AC3471"/>
    <w:rsid w:val="00AC7341"/>
    <w:rsid w:val="00B409DA"/>
    <w:rsid w:val="00B610E4"/>
    <w:rsid w:val="00B7616C"/>
    <w:rsid w:val="00B800BC"/>
    <w:rsid w:val="00BB0352"/>
    <w:rsid w:val="00BC221D"/>
    <w:rsid w:val="00BD79AA"/>
    <w:rsid w:val="00CC6666"/>
    <w:rsid w:val="00CD5531"/>
    <w:rsid w:val="00D26229"/>
    <w:rsid w:val="00DE5C10"/>
    <w:rsid w:val="00E17E26"/>
    <w:rsid w:val="00E564B4"/>
    <w:rsid w:val="00EB70E4"/>
    <w:rsid w:val="00ED6916"/>
    <w:rsid w:val="00F0106C"/>
    <w:rsid w:val="00F2462C"/>
    <w:rsid w:val="00FD1464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IZVE&#352;TAJ%20O%20SAMOVREDNOVANJ%20VM&#352;SS%20&#262;uprija%202016\PRILOZI\Rezultati%20anketa\2013%2006%20OSS%20Rezultati%20anketa%20-%20teorijska%20nastava%202012%20201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IZVE&#352;TAJ%20O%20SAMOVREDNOVANJ%20VM&#352;SS%20&#262;uprija%202016\PRILOZI\Rezultati%20anketa\2013%2006%20OSS%20Rezultati%20anketa%20-%20teorijska%20nastava%202012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4.9520690582310588E-2"/>
          <c:y val="5.1440251900434983E-2"/>
          <c:w val="0.92699613456021535"/>
          <c:h val="0.89850063603711472"/>
        </c:manualLayout>
      </c:layout>
      <c:bar3DChart>
        <c:barDir val="col"/>
        <c:grouping val="clustered"/>
        <c:ser>
          <c:idx val="2"/>
          <c:order val="2"/>
          <c:cat>
            <c:numRef>
              <c:f>'Сортирано по оцени'!$M$43:$M$46</c:f>
              <c:numCache>
                <c:formatCode>General</c:formatCode>
                <c:ptCount val="4"/>
              </c:numCache>
            </c:numRef>
          </c:cat>
          <c:val>
            <c:numRef>
              <c:f>'Сортирано по оцени'!$N$43:$N$46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cat>
            <c:numRef>
              <c:f>'Сортирано по оцени'!$M$43:$M$46</c:f>
              <c:numCache>
                <c:formatCode>General</c:formatCode>
                <c:ptCount val="4"/>
              </c:numCache>
            </c:numRef>
          </c:cat>
          <c:val>
            <c:numRef>
              <c:f>'Сортирано по оцени'!$O$43:$O$46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showVal val="1"/>
          </c:dLbls>
          <c:cat>
            <c:strRef>
              <c:f>'Сортирано по оцени'!$O$42:$O$46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оцени'!$P$42:$P$46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4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showVal val="1"/>
          </c:dLbls>
          <c:cat>
            <c:strRef>
              <c:f>'Сортирано по оцени'!$O$42:$O$46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оцени'!$Q$42:$Q$46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17</c:v>
                </c:pt>
                <c:pt idx="4">
                  <c:v>38</c:v>
                </c:pt>
              </c:numCache>
            </c:numRef>
          </c:val>
        </c:ser>
        <c:shape val="box"/>
        <c:axId val="84252160"/>
        <c:axId val="84253696"/>
        <c:axId val="0"/>
      </c:bar3DChart>
      <c:catAx>
        <c:axId val="842521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84253696"/>
        <c:crosses val="autoZero"/>
        <c:auto val="1"/>
        <c:lblAlgn val="ctr"/>
        <c:lblOffset val="100"/>
      </c:catAx>
      <c:valAx>
        <c:axId val="84253696"/>
        <c:scaling>
          <c:orientation val="minMax"/>
        </c:scaling>
        <c:axPos val="l"/>
        <c:majorGridlines/>
        <c:numFmt formatCode="General" sourceLinked="1"/>
        <c:tickLblPos val="nextTo"/>
        <c:crossAx val="8425216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plotArea>
      <c:layout>
        <c:manualLayout>
          <c:layoutTarget val="inner"/>
          <c:xMode val="edge"/>
          <c:yMode val="edge"/>
          <c:x val="4.9656457014063522E-2"/>
          <c:y val="0.10977579737942272"/>
          <c:w val="0.89938368382483858"/>
          <c:h val="0.81405042673509065"/>
        </c:manualLayout>
      </c:layout>
      <c:scatterChart>
        <c:scatterStyle val="lineMarker"/>
        <c:ser>
          <c:idx val="1"/>
          <c:order val="1"/>
          <c:spPr>
            <a:ln w="28575">
              <a:noFill/>
            </a:ln>
          </c:spPr>
          <c:yVal>
            <c:numRef>
              <c:f>'Сортирано по оцени'!$B$3:$B$64</c:f>
            </c:numRef>
          </c:yVal>
        </c:ser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1F497D">
                  <a:lumMod val="60000"/>
                  <a:lumOff val="40000"/>
                </a:srgbClr>
              </a:solidFill>
            </c:spPr>
          </c:marker>
          <c:dLbls>
            <c:dLbl>
              <c:idx val="69"/>
              <c:layout>
                <c:manualLayout>
                  <c:x val="-2.7935750413647049E-2"/>
                  <c:y val="-4.6861912335014702E-2"/>
                </c:manualLayout>
              </c:layout>
              <c:showVal val="1"/>
            </c:dLbl>
            <c:delete val="1"/>
          </c:dLbls>
          <c:yVal>
            <c:numRef>
              <c:f>'[2013 06 OSS Rezultati anketa - teorijska nastava 2012 2013.xlsx]Сортирано по оцени'!$C$2:$C$64</c:f>
              <c:numCache>
                <c:formatCode>0.00</c:formatCode>
                <c:ptCount val="63"/>
                <c:pt idx="0">
                  <c:v>3.8699999999999997</c:v>
                </c:pt>
                <c:pt idx="1">
                  <c:v>4.0199999999999996</c:v>
                </c:pt>
                <c:pt idx="2">
                  <c:v>4.2</c:v>
                </c:pt>
                <c:pt idx="3">
                  <c:v>4.2300000000000004</c:v>
                </c:pt>
                <c:pt idx="4">
                  <c:v>4.25</c:v>
                </c:pt>
                <c:pt idx="5">
                  <c:v>4.3499999999999996</c:v>
                </c:pt>
                <c:pt idx="6">
                  <c:v>4.4400000000000004</c:v>
                </c:pt>
                <c:pt idx="7">
                  <c:v>4.4800000000000004</c:v>
                </c:pt>
                <c:pt idx="8">
                  <c:v>4.51</c:v>
                </c:pt>
                <c:pt idx="9">
                  <c:v>4.5599999999999996</c:v>
                </c:pt>
                <c:pt idx="10">
                  <c:v>4.57</c:v>
                </c:pt>
                <c:pt idx="11">
                  <c:v>4.6099999999999985</c:v>
                </c:pt>
                <c:pt idx="12">
                  <c:v>4.6099999999999985</c:v>
                </c:pt>
                <c:pt idx="13">
                  <c:v>4.6399999999999997</c:v>
                </c:pt>
                <c:pt idx="14">
                  <c:v>4.67</c:v>
                </c:pt>
                <c:pt idx="15">
                  <c:v>4.67</c:v>
                </c:pt>
                <c:pt idx="16">
                  <c:v>4.68</c:v>
                </c:pt>
                <c:pt idx="17">
                  <c:v>4.6899999999999995</c:v>
                </c:pt>
                <c:pt idx="18">
                  <c:v>4.71</c:v>
                </c:pt>
                <c:pt idx="19">
                  <c:v>4.7300000000000004</c:v>
                </c:pt>
                <c:pt idx="20">
                  <c:v>4.7300000000000004</c:v>
                </c:pt>
                <c:pt idx="21">
                  <c:v>4.7300000000000004</c:v>
                </c:pt>
                <c:pt idx="22">
                  <c:v>4.74</c:v>
                </c:pt>
                <c:pt idx="23">
                  <c:v>4.74</c:v>
                </c:pt>
                <c:pt idx="24">
                  <c:v>4.74</c:v>
                </c:pt>
                <c:pt idx="25">
                  <c:v>4.7699999999999996</c:v>
                </c:pt>
                <c:pt idx="26">
                  <c:v>4.7699999999999996</c:v>
                </c:pt>
                <c:pt idx="27">
                  <c:v>4.7699999999999996</c:v>
                </c:pt>
                <c:pt idx="28">
                  <c:v>4.78</c:v>
                </c:pt>
                <c:pt idx="29">
                  <c:v>4.78</c:v>
                </c:pt>
                <c:pt idx="30">
                  <c:v>4.79</c:v>
                </c:pt>
                <c:pt idx="31">
                  <c:v>4.79</c:v>
                </c:pt>
                <c:pt idx="32">
                  <c:v>4.79</c:v>
                </c:pt>
                <c:pt idx="33">
                  <c:v>4.8</c:v>
                </c:pt>
                <c:pt idx="34">
                  <c:v>4.8099999999999996</c:v>
                </c:pt>
                <c:pt idx="35">
                  <c:v>4.83</c:v>
                </c:pt>
                <c:pt idx="36">
                  <c:v>4.84</c:v>
                </c:pt>
                <c:pt idx="37">
                  <c:v>4.8499999999999996</c:v>
                </c:pt>
                <c:pt idx="38">
                  <c:v>4.8599999999999985</c:v>
                </c:pt>
                <c:pt idx="39">
                  <c:v>4.87</c:v>
                </c:pt>
                <c:pt idx="40">
                  <c:v>4.88</c:v>
                </c:pt>
                <c:pt idx="41">
                  <c:v>4.88</c:v>
                </c:pt>
                <c:pt idx="42">
                  <c:v>4.88</c:v>
                </c:pt>
                <c:pt idx="43">
                  <c:v>4.8899999999999997</c:v>
                </c:pt>
                <c:pt idx="44">
                  <c:v>4.9000000000000004</c:v>
                </c:pt>
                <c:pt idx="45">
                  <c:v>4.9000000000000004</c:v>
                </c:pt>
                <c:pt idx="46">
                  <c:v>4.9300000000000024</c:v>
                </c:pt>
                <c:pt idx="47">
                  <c:v>4.9400000000000004</c:v>
                </c:pt>
                <c:pt idx="48">
                  <c:v>4.95</c:v>
                </c:pt>
                <c:pt idx="49">
                  <c:v>4.96</c:v>
                </c:pt>
                <c:pt idx="50">
                  <c:v>4.9700000000000024</c:v>
                </c:pt>
                <c:pt idx="51">
                  <c:v>4.9700000000000024</c:v>
                </c:pt>
                <c:pt idx="52">
                  <c:v>4.9700000000000024</c:v>
                </c:pt>
                <c:pt idx="53">
                  <c:v>4.9800000000000004</c:v>
                </c:pt>
                <c:pt idx="54">
                  <c:v>4.99</c:v>
                </c:pt>
                <c:pt idx="55">
                  <c:v>4.99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</c:numCache>
            </c:numRef>
          </c:yVal>
        </c:ser>
        <c:axId val="90265472"/>
        <c:axId val="90267008"/>
      </c:scatterChart>
      <c:valAx>
        <c:axId val="90265472"/>
        <c:scaling>
          <c:orientation val="minMax"/>
        </c:scaling>
        <c:axPos val="b"/>
        <c:tickLblPos val="nextTo"/>
        <c:crossAx val="90267008"/>
        <c:crosses val="autoZero"/>
        <c:crossBetween val="midCat"/>
      </c:valAx>
      <c:valAx>
        <c:axId val="90267008"/>
        <c:scaling>
          <c:orientation val="minMax"/>
        </c:scaling>
        <c:axPos val="l"/>
        <c:majorGridlines/>
        <c:numFmt formatCode="0.00" sourceLinked="1"/>
        <c:tickLblPos val="nextTo"/>
        <c:crossAx val="90265472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0.07564</cdr:x>
      <cdr:y>0.00722</cdr:y>
    </cdr:from>
    <cdr:to>
      <cdr:x>0.58683</cdr:x>
      <cdr:y>0.11524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4469" y="23467"/>
          <a:ext cx="4963683" cy="35129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0.07564</cdr:x>
      <cdr:y>0.00722</cdr:y>
    </cdr:from>
    <cdr:to>
      <cdr:x>0.58683</cdr:x>
      <cdr:y>0.11524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4469" y="23467"/>
          <a:ext cx="4963683" cy="3512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4</cp:revision>
  <cp:lastPrinted>2014-07-10T12:56:00Z</cp:lastPrinted>
  <dcterms:created xsi:type="dcterms:W3CDTF">2016-03-18T11:29:00Z</dcterms:created>
  <dcterms:modified xsi:type="dcterms:W3CDTF">2016-03-18T12:22:00Z</dcterms:modified>
</cp:coreProperties>
</file>